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D9EE" w14:textId="7D1177F9" w:rsidR="00592BF8" w:rsidRPr="0025344F" w:rsidRDefault="00592BF8" w:rsidP="00592BF8">
      <w:pPr>
        <w:spacing w:line="240" w:lineRule="auto"/>
        <w:jc w:val="both"/>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Attestazione di positiva valutazione di cui all’art. 6, comma 7, della Legge n. 240/2010</w:t>
      </w:r>
    </w:p>
    <w:p w14:paraId="2026490B" w14:textId="77777777" w:rsidR="00592BF8" w:rsidRPr="0025344F" w:rsidRDefault="00592BF8" w:rsidP="00592BF8">
      <w:pPr>
        <w:spacing w:line="240" w:lineRule="auto"/>
        <w:jc w:val="both"/>
        <w:rPr>
          <w:rFonts w:ascii="Atkinson Hyperlegible Next" w:eastAsia="Times New Roman" w:hAnsi="Atkinson Hyperlegible Next" w:cs="Times"/>
          <w:sz w:val="21"/>
          <w:szCs w:val="20"/>
          <w:lang w:eastAsia="it-IT"/>
        </w:rPr>
      </w:pPr>
    </w:p>
    <w:p w14:paraId="77CCECB5" w14:textId="77777777" w:rsidR="00592BF8" w:rsidRPr="0025344F" w:rsidRDefault="00592BF8" w:rsidP="00592BF8">
      <w:pP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Il/La sottoscritto/a _________________________________________________________________</w:t>
      </w:r>
    </w:p>
    <w:p w14:paraId="0BA1C10F" w14:textId="77777777" w:rsidR="00592BF8" w:rsidRPr="0025344F" w:rsidRDefault="00592BF8" w:rsidP="00592BF8">
      <w:pP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nato/a </w:t>
      </w:r>
      <w:proofErr w:type="spellStart"/>
      <w:r w:rsidRPr="0025344F">
        <w:rPr>
          <w:rFonts w:ascii="Atkinson Hyperlegible Next" w:eastAsia="Times New Roman" w:hAnsi="Atkinson Hyperlegible Next" w:cs="Times"/>
          <w:sz w:val="21"/>
          <w:szCs w:val="20"/>
          <w:lang w:eastAsia="it-IT"/>
        </w:rPr>
        <w:t>a</w:t>
      </w:r>
      <w:proofErr w:type="spellEnd"/>
      <w:r w:rsidRPr="0025344F">
        <w:rPr>
          <w:rFonts w:ascii="Atkinson Hyperlegible Next" w:eastAsia="Times New Roman" w:hAnsi="Atkinson Hyperlegible Next" w:cs="Times"/>
          <w:sz w:val="21"/>
          <w:szCs w:val="20"/>
          <w:lang w:eastAsia="it-IT"/>
        </w:rPr>
        <w:t xml:space="preserve"> ____________________prov. ___________il___________________________________ </w:t>
      </w:r>
    </w:p>
    <w:p w14:paraId="5778261A" w14:textId="2AABDB47" w:rsidR="00592BF8" w:rsidRPr="0025344F" w:rsidRDefault="00592BF8" w:rsidP="00592BF8">
      <w:pP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professore/</w:t>
      </w:r>
      <w:proofErr w:type="spellStart"/>
      <w:r w:rsidRPr="0025344F">
        <w:rPr>
          <w:rFonts w:ascii="Atkinson Hyperlegible Next" w:eastAsia="Times New Roman" w:hAnsi="Atkinson Hyperlegible Next" w:cs="Times"/>
          <w:sz w:val="21"/>
          <w:szCs w:val="20"/>
          <w:lang w:eastAsia="it-IT"/>
        </w:rPr>
        <w:t>ssa</w:t>
      </w:r>
      <w:proofErr w:type="spellEnd"/>
      <w:r w:rsidRPr="0025344F">
        <w:rPr>
          <w:rFonts w:ascii="Atkinson Hyperlegible Next" w:eastAsia="Times New Roman" w:hAnsi="Atkinson Hyperlegible Next" w:cs="Times"/>
          <w:sz w:val="21"/>
          <w:szCs w:val="20"/>
          <w:lang w:eastAsia="it-IT"/>
        </w:rPr>
        <w:t xml:space="preserve"> di ruolo di </w:t>
      </w:r>
      <w:r w:rsidR="00A17F60" w:rsidRPr="0025344F">
        <w:rPr>
          <w:rFonts w:ascii="Atkinson Hyperlegible Next" w:eastAsia="Times New Roman" w:hAnsi="Atkinson Hyperlegible Next" w:cs="Times"/>
          <w:sz w:val="21"/>
          <w:szCs w:val="20"/>
          <w:lang w:eastAsia="it-IT"/>
        </w:rPr>
        <w:t>__</w:t>
      </w:r>
      <w:r w:rsidRPr="0025344F">
        <w:rPr>
          <w:rFonts w:ascii="Atkinson Hyperlegible Next" w:eastAsia="Times New Roman" w:hAnsi="Atkinson Hyperlegible Next" w:cs="Times"/>
          <w:sz w:val="21"/>
          <w:szCs w:val="20"/>
          <w:lang w:eastAsia="it-IT"/>
        </w:rPr>
        <w:t xml:space="preserve"> fascia per il S.C.________________S.S.D._______________________</w:t>
      </w:r>
    </w:p>
    <w:p w14:paraId="375AA27D" w14:textId="77777777" w:rsidR="00592BF8" w:rsidRPr="0025344F" w:rsidRDefault="00592BF8" w:rsidP="00592BF8">
      <w:pP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afferente al Dipartimento di ___________________________________________ai sensi degli artt. 46 e 47 del D.P.R. 445/2000, consapevole delle sanzioni penali, nel caso di dichiarazioni non veritiere, di formazione o uso di atti falsi, richiamate dall’art. 76 del D.P.R. 445 del 28 dicembre 2000  </w:t>
      </w:r>
    </w:p>
    <w:p w14:paraId="2B187698" w14:textId="77777777" w:rsidR="00592BF8" w:rsidRPr="0025344F" w:rsidRDefault="00592BF8" w:rsidP="00592BF8">
      <w:pPr>
        <w:spacing w:line="240" w:lineRule="auto"/>
        <w:rPr>
          <w:rFonts w:ascii="Atkinson Hyperlegible Next" w:eastAsia="Times New Roman" w:hAnsi="Atkinson Hyperlegible Next" w:cs="Times"/>
          <w:sz w:val="21"/>
          <w:szCs w:val="20"/>
          <w:lang w:eastAsia="it-IT"/>
        </w:rPr>
      </w:pPr>
    </w:p>
    <w:p w14:paraId="648A6F3F" w14:textId="77777777" w:rsidR="00592BF8" w:rsidRPr="0025344F" w:rsidRDefault="00592BF8" w:rsidP="00592BF8">
      <w:pPr>
        <w:spacing w:line="240" w:lineRule="auto"/>
        <w:jc w:val="center"/>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DICHIARA</w:t>
      </w:r>
    </w:p>
    <w:p w14:paraId="2DDAAF69" w14:textId="77777777" w:rsidR="00592BF8" w:rsidRPr="0025344F" w:rsidRDefault="00592BF8" w:rsidP="00592BF8">
      <w:pPr>
        <w:spacing w:line="240" w:lineRule="auto"/>
        <w:rPr>
          <w:rFonts w:ascii="Atkinson Hyperlegible Next" w:eastAsia="Times New Roman" w:hAnsi="Atkinson Hyperlegible Next" w:cs="Times"/>
          <w:sz w:val="21"/>
          <w:szCs w:val="20"/>
          <w:lang w:eastAsia="it-IT"/>
        </w:rPr>
      </w:pPr>
    </w:p>
    <w:p w14:paraId="39881BB9" w14:textId="47E02B9C" w:rsidR="00592BF8" w:rsidRPr="0025344F" w:rsidRDefault="00592BF8" w:rsidP="00592BF8">
      <w:pPr>
        <w:numPr>
          <w:ilvl w:val="0"/>
          <w:numId w:val="1"/>
        </w:numP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di aver ottemperato agli obblighi derivanti dai compiti di didattica, di didattica integrativa e di servizio agli studenti, inclusi l'orientamento e il tutorato, e l’attività di verifica dell'apprendimento, affidatigli/le e svolti negli A.A. </w:t>
      </w:r>
      <w:r w:rsidR="005624A1" w:rsidRPr="0025344F">
        <w:rPr>
          <w:rFonts w:ascii="Atkinson Hyperlegible Next" w:eastAsia="Times New Roman" w:hAnsi="Atkinson Hyperlegible Next" w:cs="Times"/>
          <w:sz w:val="21"/>
          <w:szCs w:val="20"/>
          <w:lang w:eastAsia="it-IT"/>
        </w:rPr>
        <w:t>_________</w:t>
      </w:r>
      <w:r w:rsidRPr="0025344F">
        <w:rPr>
          <w:rFonts w:ascii="Atkinson Hyperlegible Next" w:eastAsia="Times New Roman" w:hAnsi="Atkinson Hyperlegible Next" w:cs="Times"/>
          <w:sz w:val="21"/>
          <w:szCs w:val="20"/>
          <w:lang w:eastAsia="it-IT"/>
        </w:rPr>
        <w:t xml:space="preserve"> e </w:t>
      </w:r>
      <w:r w:rsidR="005624A1" w:rsidRPr="0025344F">
        <w:rPr>
          <w:rFonts w:ascii="Atkinson Hyperlegible Next" w:eastAsia="Times New Roman" w:hAnsi="Atkinson Hyperlegible Next" w:cs="Times"/>
          <w:sz w:val="21"/>
          <w:szCs w:val="20"/>
          <w:lang w:eastAsia="it-IT"/>
        </w:rPr>
        <w:t>___________</w:t>
      </w:r>
    </w:p>
    <w:p w14:paraId="7DF5ED97" w14:textId="5972C2DC" w:rsidR="00A17F60" w:rsidRPr="0025344F" w:rsidRDefault="00A17F60" w:rsidP="00A17F60">
      <w:pPr>
        <w:pStyle w:val="Paragrafoelenco"/>
        <w:numPr>
          <w:ilvl w:val="0"/>
          <w:numId w:val="1"/>
        </w:numPr>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di aver ottemperato agli obblighi relativi all’attività gestionale;</w:t>
      </w:r>
    </w:p>
    <w:p w14:paraId="359C541C" w14:textId="77777777" w:rsidR="00592BF8" w:rsidRPr="0025344F" w:rsidRDefault="00592BF8" w:rsidP="00592BF8">
      <w:pPr>
        <w:numPr>
          <w:ilvl w:val="0"/>
          <w:numId w:val="1"/>
        </w:numP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di essere in possesso dei requisiti richiesti per far parte delle commissioni dell’Abilitazione scientifica nazionale, e di aver pubblicato almeno tre prodotti scientifici dotati di ISBN/ISMN/SSN o indicizzati su </w:t>
      </w:r>
      <w:proofErr w:type="spellStart"/>
      <w:r w:rsidRPr="0025344F">
        <w:rPr>
          <w:rFonts w:ascii="Atkinson Hyperlegible Next" w:eastAsia="Times New Roman" w:hAnsi="Atkinson Hyperlegible Next" w:cs="Times"/>
          <w:sz w:val="21"/>
          <w:szCs w:val="20"/>
          <w:lang w:eastAsia="it-IT"/>
        </w:rPr>
        <w:t>WoS</w:t>
      </w:r>
      <w:proofErr w:type="spellEnd"/>
      <w:r w:rsidRPr="0025344F">
        <w:rPr>
          <w:rFonts w:ascii="Atkinson Hyperlegible Next" w:eastAsia="Times New Roman" w:hAnsi="Atkinson Hyperlegible Next" w:cs="Times"/>
          <w:sz w:val="21"/>
          <w:szCs w:val="20"/>
          <w:lang w:eastAsia="it-IT"/>
        </w:rPr>
        <w:t xml:space="preserve"> o Scopus negli ultimi cinque anni (criterio ANVUR, delibera 132/2016), tra cui quelli di seguito elencati:</w:t>
      </w:r>
    </w:p>
    <w:p w14:paraId="49539016" w14:textId="77777777" w:rsidR="00592BF8" w:rsidRPr="0025344F" w:rsidRDefault="00592BF8" w:rsidP="00592BF8">
      <w:pPr>
        <w:spacing w:line="240" w:lineRule="auto"/>
        <w:ind w:left="720"/>
        <w:jc w:val="both"/>
        <w:rPr>
          <w:rFonts w:ascii="Atkinson Hyperlegible Next" w:eastAsia="Times New Roman" w:hAnsi="Atkinson Hyperlegible Next" w:cs="Times"/>
          <w:sz w:val="21"/>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1690"/>
        <w:gridCol w:w="1529"/>
        <w:gridCol w:w="1483"/>
        <w:gridCol w:w="1504"/>
        <w:gridCol w:w="709"/>
        <w:gridCol w:w="2713"/>
      </w:tblGrid>
      <w:tr w:rsidR="00592BF8" w:rsidRPr="0025344F" w14:paraId="01C92E01" w14:textId="77777777" w:rsidTr="00592BF8">
        <w:tc>
          <w:tcPr>
            <w:tcW w:w="877" w:type="pct"/>
            <w:shd w:val="clear" w:color="auto" w:fill="auto"/>
            <w:tcMar>
              <w:left w:w="98" w:type="dxa"/>
            </w:tcMar>
            <w:vAlign w:val="center"/>
          </w:tcPr>
          <w:p w14:paraId="25CB74A2"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Pubblicazione</w:t>
            </w:r>
          </w:p>
        </w:tc>
        <w:tc>
          <w:tcPr>
            <w:tcW w:w="794" w:type="pct"/>
            <w:shd w:val="clear" w:color="auto" w:fill="auto"/>
            <w:tcMar>
              <w:left w:w="98" w:type="dxa"/>
            </w:tcMar>
            <w:vAlign w:val="center"/>
          </w:tcPr>
          <w:p w14:paraId="09464020"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Tipologia</w:t>
            </w:r>
          </w:p>
        </w:tc>
        <w:tc>
          <w:tcPr>
            <w:tcW w:w="770" w:type="pct"/>
            <w:shd w:val="clear" w:color="auto" w:fill="auto"/>
            <w:tcMar>
              <w:left w:w="98" w:type="dxa"/>
            </w:tcMar>
            <w:vAlign w:val="center"/>
          </w:tcPr>
          <w:p w14:paraId="6716B3DC"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ID</w:t>
            </w:r>
          </w:p>
        </w:tc>
        <w:tc>
          <w:tcPr>
            <w:tcW w:w="781" w:type="pct"/>
            <w:shd w:val="clear" w:color="auto" w:fill="auto"/>
            <w:tcMar>
              <w:left w:w="98" w:type="dxa"/>
            </w:tcMar>
            <w:vAlign w:val="center"/>
          </w:tcPr>
          <w:p w14:paraId="6CFEED83"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Titolo</w:t>
            </w:r>
          </w:p>
        </w:tc>
        <w:tc>
          <w:tcPr>
            <w:tcW w:w="368" w:type="pct"/>
            <w:shd w:val="clear" w:color="auto" w:fill="auto"/>
            <w:tcMar>
              <w:left w:w="98" w:type="dxa"/>
            </w:tcMar>
            <w:vAlign w:val="center"/>
          </w:tcPr>
          <w:p w14:paraId="0AEABEB1"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Anno</w:t>
            </w:r>
          </w:p>
        </w:tc>
        <w:tc>
          <w:tcPr>
            <w:tcW w:w="1408" w:type="pct"/>
            <w:shd w:val="clear" w:color="auto" w:fill="auto"/>
            <w:tcMar>
              <w:left w:w="98" w:type="dxa"/>
            </w:tcMar>
            <w:vAlign w:val="center"/>
          </w:tcPr>
          <w:p w14:paraId="6AA248C4"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 xml:space="preserve">ISBN/ISMN/SSN o </w:t>
            </w:r>
          </w:p>
          <w:p w14:paraId="6ECE7771" w14:textId="77777777" w:rsidR="00592BF8" w:rsidRPr="0025344F" w:rsidRDefault="00592BF8" w:rsidP="005648BE">
            <w:pPr>
              <w:spacing w:line="240" w:lineRule="auto"/>
              <w:jc w:val="center"/>
              <w:rPr>
                <w:rFonts w:ascii="Atkinson Hyperlegible Next" w:eastAsia="Times New Roman" w:hAnsi="Atkinson Hyperlegible Next" w:cs="Times"/>
                <w:b/>
                <w:sz w:val="21"/>
                <w:szCs w:val="20"/>
                <w:lang w:eastAsia="it-IT"/>
              </w:rPr>
            </w:pPr>
            <w:r w:rsidRPr="0025344F">
              <w:rPr>
                <w:rFonts w:ascii="Atkinson Hyperlegible Next" w:eastAsia="Times New Roman" w:hAnsi="Atkinson Hyperlegible Next" w:cs="Times"/>
                <w:b/>
                <w:sz w:val="21"/>
                <w:szCs w:val="20"/>
                <w:lang w:eastAsia="it-IT"/>
              </w:rPr>
              <w:t xml:space="preserve">codice </w:t>
            </w:r>
            <w:proofErr w:type="spellStart"/>
            <w:r w:rsidRPr="0025344F">
              <w:rPr>
                <w:rFonts w:ascii="Atkinson Hyperlegible Next" w:eastAsia="Times New Roman" w:hAnsi="Atkinson Hyperlegible Next" w:cs="Times"/>
                <w:b/>
                <w:sz w:val="21"/>
                <w:szCs w:val="20"/>
                <w:lang w:eastAsia="it-IT"/>
              </w:rPr>
              <w:t>WoS</w:t>
            </w:r>
            <w:proofErr w:type="spellEnd"/>
            <w:r w:rsidRPr="0025344F">
              <w:rPr>
                <w:rFonts w:ascii="Atkinson Hyperlegible Next" w:eastAsia="Times New Roman" w:hAnsi="Atkinson Hyperlegible Next" w:cs="Times"/>
                <w:b/>
                <w:sz w:val="21"/>
                <w:szCs w:val="20"/>
                <w:lang w:eastAsia="it-IT"/>
              </w:rPr>
              <w:t xml:space="preserve"> o codice Scopus</w:t>
            </w:r>
          </w:p>
        </w:tc>
      </w:tr>
      <w:tr w:rsidR="00592BF8" w:rsidRPr="0025344F" w14:paraId="2247EA39" w14:textId="77777777" w:rsidTr="00592BF8">
        <w:tc>
          <w:tcPr>
            <w:tcW w:w="877" w:type="pct"/>
            <w:shd w:val="clear" w:color="auto" w:fill="auto"/>
            <w:tcMar>
              <w:left w:w="98" w:type="dxa"/>
            </w:tcMar>
          </w:tcPr>
          <w:p w14:paraId="1DF68AE5"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94" w:type="pct"/>
            <w:shd w:val="clear" w:color="auto" w:fill="auto"/>
            <w:tcMar>
              <w:left w:w="98" w:type="dxa"/>
            </w:tcMar>
          </w:tcPr>
          <w:p w14:paraId="163B4551"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70" w:type="pct"/>
            <w:shd w:val="clear" w:color="auto" w:fill="auto"/>
            <w:tcMar>
              <w:left w:w="98" w:type="dxa"/>
            </w:tcMar>
          </w:tcPr>
          <w:p w14:paraId="7ADF01E6"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81" w:type="pct"/>
            <w:shd w:val="clear" w:color="auto" w:fill="auto"/>
            <w:tcMar>
              <w:left w:w="98" w:type="dxa"/>
            </w:tcMar>
          </w:tcPr>
          <w:p w14:paraId="5858CDB6"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368" w:type="pct"/>
            <w:shd w:val="clear" w:color="auto" w:fill="auto"/>
            <w:tcMar>
              <w:left w:w="98" w:type="dxa"/>
            </w:tcMar>
          </w:tcPr>
          <w:p w14:paraId="61D8B461"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1408" w:type="pct"/>
            <w:shd w:val="clear" w:color="auto" w:fill="auto"/>
            <w:tcMar>
              <w:left w:w="98" w:type="dxa"/>
            </w:tcMar>
          </w:tcPr>
          <w:p w14:paraId="518CD157"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r>
      <w:tr w:rsidR="00592BF8" w:rsidRPr="0025344F" w14:paraId="2B37D24E" w14:textId="77777777" w:rsidTr="00592BF8">
        <w:tc>
          <w:tcPr>
            <w:tcW w:w="877" w:type="pct"/>
            <w:shd w:val="clear" w:color="auto" w:fill="auto"/>
            <w:tcMar>
              <w:left w:w="98" w:type="dxa"/>
            </w:tcMar>
          </w:tcPr>
          <w:p w14:paraId="3BF14A99"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94" w:type="pct"/>
            <w:shd w:val="clear" w:color="auto" w:fill="auto"/>
            <w:tcMar>
              <w:left w:w="98" w:type="dxa"/>
            </w:tcMar>
          </w:tcPr>
          <w:p w14:paraId="32C7AAC5"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70" w:type="pct"/>
            <w:shd w:val="clear" w:color="auto" w:fill="auto"/>
            <w:tcMar>
              <w:left w:w="98" w:type="dxa"/>
            </w:tcMar>
          </w:tcPr>
          <w:p w14:paraId="30EF2394"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81" w:type="pct"/>
            <w:shd w:val="clear" w:color="auto" w:fill="auto"/>
            <w:tcMar>
              <w:left w:w="98" w:type="dxa"/>
            </w:tcMar>
          </w:tcPr>
          <w:p w14:paraId="6134C0B3"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368" w:type="pct"/>
            <w:shd w:val="clear" w:color="auto" w:fill="auto"/>
            <w:tcMar>
              <w:left w:w="98" w:type="dxa"/>
            </w:tcMar>
          </w:tcPr>
          <w:p w14:paraId="3FD18E5C"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1408" w:type="pct"/>
            <w:shd w:val="clear" w:color="auto" w:fill="auto"/>
            <w:tcMar>
              <w:left w:w="98" w:type="dxa"/>
            </w:tcMar>
          </w:tcPr>
          <w:p w14:paraId="654F3882"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r>
      <w:tr w:rsidR="00592BF8" w:rsidRPr="0025344F" w14:paraId="0EDB3575" w14:textId="77777777" w:rsidTr="00592BF8">
        <w:tc>
          <w:tcPr>
            <w:tcW w:w="877" w:type="pct"/>
            <w:tcBorders>
              <w:top w:val="nil"/>
            </w:tcBorders>
            <w:shd w:val="clear" w:color="auto" w:fill="auto"/>
            <w:tcMar>
              <w:left w:w="98" w:type="dxa"/>
            </w:tcMar>
          </w:tcPr>
          <w:p w14:paraId="178BD693"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94" w:type="pct"/>
            <w:tcBorders>
              <w:top w:val="nil"/>
            </w:tcBorders>
            <w:shd w:val="clear" w:color="auto" w:fill="auto"/>
            <w:tcMar>
              <w:left w:w="98" w:type="dxa"/>
            </w:tcMar>
          </w:tcPr>
          <w:p w14:paraId="6AB38FE1"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70" w:type="pct"/>
            <w:tcBorders>
              <w:top w:val="nil"/>
            </w:tcBorders>
            <w:shd w:val="clear" w:color="auto" w:fill="auto"/>
            <w:tcMar>
              <w:left w:w="98" w:type="dxa"/>
            </w:tcMar>
          </w:tcPr>
          <w:p w14:paraId="05A399B6"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781" w:type="pct"/>
            <w:tcBorders>
              <w:top w:val="nil"/>
            </w:tcBorders>
            <w:shd w:val="clear" w:color="auto" w:fill="auto"/>
            <w:tcMar>
              <w:left w:w="98" w:type="dxa"/>
            </w:tcMar>
          </w:tcPr>
          <w:p w14:paraId="704C8EF7"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368" w:type="pct"/>
            <w:tcBorders>
              <w:top w:val="nil"/>
            </w:tcBorders>
            <w:shd w:val="clear" w:color="auto" w:fill="auto"/>
            <w:tcMar>
              <w:left w:w="98" w:type="dxa"/>
            </w:tcMar>
          </w:tcPr>
          <w:p w14:paraId="44158E3E"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c>
          <w:tcPr>
            <w:tcW w:w="1408" w:type="pct"/>
            <w:tcBorders>
              <w:top w:val="nil"/>
            </w:tcBorders>
            <w:shd w:val="clear" w:color="auto" w:fill="auto"/>
            <w:tcMar>
              <w:left w:w="98" w:type="dxa"/>
            </w:tcMar>
          </w:tcPr>
          <w:p w14:paraId="09FECBC0" w14:textId="77777777" w:rsidR="00592BF8" w:rsidRPr="0025344F" w:rsidRDefault="00592BF8" w:rsidP="005648BE">
            <w:pPr>
              <w:spacing w:line="240" w:lineRule="auto"/>
              <w:rPr>
                <w:rFonts w:ascii="Atkinson Hyperlegible Next" w:eastAsia="Times New Roman" w:hAnsi="Atkinson Hyperlegible Next" w:cs="Times"/>
                <w:sz w:val="21"/>
                <w:szCs w:val="20"/>
                <w:lang w:eastAsia="it-IT"/>
              </w:rPr>
            </w:pPr>
          </w:p>
        </w:tc>
      </w:tr>
    </w:tbl>
    <w:p w14:paraId="0A9E7F88" w14:textId="77777777" w:rsidR="00592BF8" w:rsidRPr="0025344F" w:rsidRDefault="00592BF8" w:rsidP="00592BF8">
      <w:pPr>
        <w:spacing w:line="240" w:lineRule="auto"/>
        <w:rPr>
          <w:rFonts w:ascii="Atkinson Hyperlegible Next" w:eastAsia="Times New Roman" w:hAnsi="Atkinson Hyperlegible Next" w:cs="Times"/>
          <w:sz w:val="21"/>
          <w:szCs w:val="20"/>
          <w:lang w:eastAsia="it-IT"/>
        </w:rPr>
      </w:pPr>
    </w:p>
    <w:p w14:paraId="7D8F3674" w14:textId="77777777" w:rsidR="00592BF8" w:rsidRPr="0025344F" w:rsidRDefault="00592BF8" w:rsidP="00592BF8">
      <w:pPr>
        <w:spacing w:line="240" w:lineRule="auto"/>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Ai sensi dell’art. 38 del DPR n. 445/2000, il/la sottoscritto/a sottoscrive la presente dichiarazione e allega copia fotostatica del proprio documento di riconoscimento.</w:t>
      </w:r>
    </w:p>
    <w:p w14:paraId="7A290D3A" w14:textId="77777777" w:rsidR="00592BF8" w:rsidRPr="0025344F" w:rsidRDefault="00592BF8" w:rsidP="00592BF8">
      <w:pPr>
        <w:spacing w:line="240" w:lineRule="auto"/>
        <w:rPr>
          <w:rFonts w:ascii="Atkinson Hyperlegible Next" w:eastAsia="Times New Roman" w:hAnsi="Atkinson Hyperlegible Next" w:cs="Times"/>
          <w:sz w:val="21"/>
          <w:szCs w:val="20"/>
          <w:lang w:eastAsia="it-IT"/>
        </w:rPr>
      </w:pPr>
    </w:p>
    <w:p w14:paraId="13ED6B79" w14:textId="77777777" w:rsidR="00592BF8" w:rsidRPr="0025344F" w:rsidRDefault="00592BF8" w:rsidP="00592BF8">
      <w:pPr>
        <w:tabs>
          <w:tab w:val="center" w:pos="7938"/>
        </w:tabs>
        <w:spacing w:line="240" w:lineRule="auto"/>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L’Aquila, ___________________</w:t>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t>______________________________</w:t>
      </w:r>
    </w:p>
    <w:p w14:paraId="1640CF1C" w14:textId="22347E53" w:rsidR="00592BF8" w:rsidRPr="0025344F" w:rsidRDefault="00592BF8" w:rsidP="00592BF8">
      <w:pPr>
        <w:tabs>
          <w:tab w:val="center" w:pos="7938"/>
        </w:tabs>
        <w:spacing w:line="240" w:lineRule="auto"/>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ab/>
        <w:t>(Firma leggibile)</w:t>
      </w:r>
    </w:p>
    <w:p w14:paraId="52DEFB29" w14:textId="4F5638E6" w:rsidR="00592BF8" w:rsidRPr="0025344F" w:rsidRDefault="00592BF8" w:rsidP="00592BF8">
      <w:pPr>
        <w:tabs>
          <w:tab w:val="center" w:pos="7938"/>
        </w:tabs>
        <w:spacing w:line="240" w:lineRule="auto"/>
        <w:rPr>
          <w:rFonts w:ascii="Atkinson Hyperlegible Next" w:eastAsia="Times New Roman" w:hAnsi="Atkinson Hyperlegible Next" w:cs="Times"/>
          <w:sz w:val="21"/>
          <w:szCs w:val="20"/>
          <w:lang w:eastAsia="it-IT"/>
        </w:rPr>
      </w:pPr>
    </w:p>
    <w:p w14:paraId="39D1A3B3" w14:textId="3A81E331" w:rsidR="00592BF8" w:rsidRPr="0025344F" w:rsidRDefault="00592BF8">
      <w:pPr>
        <w:spacing w:line="240" w:lineRule="auto"/>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br w:type="page"/>
      </w:r>
    </w:p>
    <w:p w14:paraId="4F5629F5" w14:textId="77777777" w:rsidR="00592BF8" w:rsidRPr="0025344F" w:rsidRDefault="00592BF8" w:rsidP="00592BF8">
      <w:pPr>
        <w:tabs>
          <w:tab w:val="center" w:pos="7938"/>
        </w:tabs>
        <w:spacing w:line="240" w:lineRule="auto"/>
        <w:rPr>
          <w:rFonts w:ascii="Atkinson Hyperlegible Next" w:eastAsia="Times New Roman" w:hAnsi="Atkinson Hyperlegible Next" w:cs="Times"/>
          <w:sz w:val="21"/>
          <w:szCs w:val="20"/>
          <w:lang w:eastAsia="it-IT"/>
        </w:rPr>
      </w:pPr>
    </w:p>
    <w:p w14:paraId="37946C1A" w14:textId="77777777" w:rsidR="00592BF8" w:rsidRPr="0025344F" w:rsidRDefault="00592BF8" w:rsidP="00592BF8">
      <w:pPr>
        <w:pBdr>
          <w:top w:val="single" w:sz="4" w:space="1" w:color="auto"/>
          <w:left w:val="single" w:sz="4" w:space="4" w:color="auto"/>
          <w:bottom w:val="single" w:sz="4" w:space="1" w:color="auto"/>
          <w:right w:val="single" w:sz="4" w:space="4" w:color="auto"/>
        </w:pBdr>
        <w:spacing w:line="240" w:lineRule="auto"/>
        <w:rPr>
          <w:rFonts w:ascii="Atkinson Hyperlegible Next" w:eastAsia="Times New Roman" w:hAnsi="Atkinson Hyperlegible Next" w:cs="Times"/>
          <w:sz w:val="21"/>
          <w:szCs w:val="20"/>
          <w:lang w:eastAsia="it-IT"/>
        </w:rPr>
      </w:pPr>
    </w:p>
    <w:p w14:paraId="113E8AD1"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Il sottoscritto prof. Marcello Di Risio, Direttore del Dipartimento di Ingegneria Civile, Edile Architettura e Ambientale, </w:t>
      </w:r>
    </w:p>
    <w:p w14:paraId="27602980"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p>
    <w:p w14:paraId="2F24E878"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VISTI: </w:t>
      </w:r>
    </w:p>
    <w:p w14:paraId="35F71CAF"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la L. n. 240/2010;</w:t>
      </w:r>
    </w:p>
    <w:p w14:paraId="64143E4A"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l’art. 19, comma 1-bis del D.L. n. 76/2020, convertito con modificazioni dalla L. n. 120/2020 che recita: “L'articolo 16, comma 3, lettera h), della legge 30 dicembre 2010, n. 240, si interpreta nel senso che la valutazione richiesta ai fini dell'inclusione nelle liste dei professori ordinari positivamente valutati ai sensi dell'articolo 6, comma 7, è quella di cui al secondo periodo del citato comma 7”;</w:t>
      </w:r>
    </w:p>
    <w:p w14:paraId="77A6791E"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l’articolo 6, comma 7, secondo periodo, della L. n. 240/2010, il quale prevede che “fatta salva la competenza esclusiva delle università a valutare positivamente o negativamente le attività dei singoli docenti e ricercatori, l’ANVUR stabilisce criteri oggettivi di verifica dei risultati dell’attività di ricerca ai fini del comma 8;</w:t>
      </w:r>
    </w:p>
    <w:p w14:paraId="6A0EBFC0" w14:textId="270295C8" w:rsidR="00592BF8"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la delibera ANVUR n. 132 del 13 settembre 2016, che stabilisce i criteri oggettivi di verifica dei risultati dell’attività di ricerca dei professori e ricercatori universitari;</w:t>
      </w:r>
    </w:p>
    <w:p w14:paraId="2938DB72" w14:textId="77777777" w:rsidR="00A17F60" w:rsidRPr="0025344F"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p>
    <w:p w14:paraId="52DF20B6" w14:textId="77777777" w:rsidR="00592BF8" w:rsidRPr="0025344F"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PRESO ATTO di quanto dichiarato dal/dalla prof./prof.ssa___________________________________</w:t>
      </w:r>
    </w:p>
    <w:p w14:paraId="54F6B88A" w14:textId="77777777" w:rsidR="00592BF8" w:rsidRPr="0025344F"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p>
    <w:p w14:paraId="1812587B" w14:textId="77777777" w:rsidR="00592BF8" w:rsidRPr="0025344F"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t>ATTESTA</w:t>
      </w:r>
    </w:p>
    <w:p w14:paraId="12D93211" w14:textId="77777777" w:rsidR="00592BF8" w:rsidRPr="0025344F"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Atkinson Hyperlegible Next" w:eastAsia="Times New Roman" w:hAnsi="Atkinson Hyperlegible Next" w:cs="Times"/>
          <w:sz w:val="21"/>
          <w:szCs w:val="20"/>
          <w:lang w:eastAsia="it-IT"/>
        </w:rPr>
      </w:pPr>
    </w:p>
    <w:p w14:paraId="53F3944E" w14:textId="77777777" w:rsidR="00A17F60" w:rsidRPr="0025344F"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 xml:space="preserve">che il </w:t>
      </w:r>
      <w:proofErr w:type="gramStart"/>
      <w:r w:rsidRPr="0025344F">
        <w:rPr>
          <w:rFonts w:ascii="Atkinson Hyperlegible Next" w:eastAsia="Times New Roman" w:hAnsi="Atkinson Hyperlegible Next" w:cs="Times"/>
          <w:sz w:val="21"/>
          <w:szCs w:val="20"/>
          <w:lang w:eastAsia="it-IT"/>
        </w:rPr>
        <w:t>predetto</w:t>
      </w:r>
      <w:proofErr w:type="gramEnd"/>
      <w:r w:rsidRPr="0025344F">
        <w:rPr>
          <w:rFonts w:ascii="Atkinson Hyperlegible Next" w:eastAsia="Times New Roman" w:hAnsi="Atkinson Hyperlegible Next" w:cs="Times"/>
          <w:sz w:val="21"/>
          <w:szCs w:val="20"/>
          <w:lang w:eastAsia="it-IT"/>
        </w:rPr>
        <w:t xml:space="preserve"> docente è VALUTATO POSITIVAMENTE ai sensi dell’art. 6, comma 7, della Legge n. 240/2010.</w:t>
      </w:r>
    </w:p>
    <w:p w14:paraId="428D5B70" w14:textId="77777777" w:rsidR="00A17F60" w:rsidRPr="0025344F"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Atkinson Hyperlegible Next" w:eastAsia="Times New Roman" w:hAnsi="Atkinson Hyperlegible Next" w:cs="Times"/>
          <w:sz w:val="21"/>
          <w:szCs w:val="20"/>
          <w:lang w:eastAsia="it-IT"/>
        </w:rPr>
      </w:pPr>
      <w:r w:rsidRPr="0025344F">
        <w:rPr>
          <w:rFonts w:ascii="Atkinson Hyperlegible Next" w:eastAsia="Times New Roman" w:hAnsi="Atkinson Hyperlegible Next" w:cs="Times"/>
          <w:sz w:val="21"/>
          <w:szCs w:val="20"/>
          <w:lang w:eastAsia="it-IT"/>
        </w:rPr>
        <w:t>Si rilascia la presente attestazione ai fini della partecipazione alle commissioni di selezione e progressione di carriera del personale accademico, nonché agli organi di valutazione dei progetti di ricerca.</w:t>
      </w:r>
    </w:p>
    <w:p w14:paraId="43F9AF21" w14:textId="77777777" w:rsidR="00A17F60" w:rsidRPr="0025344F"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Atkinson Hyperlegible Next" w:eastAsia="Times New Roman" w:hAnsi="Atkinson Hyperlegible Next" w:cs="Times"/>
          <w:sz w:val="21"/>
          <w:szCs w:val="20"/>
          <w:lang w:eastAsia="it-IT"/>
        </w:rPr>
      </w:pPr>
    </w:p>
    <w:p w14:paraId="27DAA81E" w14:textId="5CC05DDA" w:rsidR="00592BF8" w:rsidRPr="0025344F"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Atkinson Hyperlegible Next" w:eastAsia="Times New Roman" w:hAnsi="Atkinson Hyperlegible Next" w:cs="Times"/>
          <w:bCs/>
          <w:sz w:val="21"/>
          <w:szCs w:val="20"/>
          <w:lang w:eastAsia="it-IT"/>
        </w:rPr>
      </w:pPr>
      <w:r w:rsidRPr="0025344F">
        <w:rPr>
          <w:rFonts w:ascii="Atkinson Hyperlegible Next" w:eastAsia="Times New Roman" w:hAnsi="Atkinson Hyperlegible Next" w:cs="Times"/>
          <w:sz w:val="21"/>
          <w:szCs w:val="20"/>
          <w:lang w:eastAsia="it-IT"/>
        </w:rPr>
        <w:t>L’Aquila, ___________________</w:t>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r>
      <w:r w:rsidRPr="0025344F">
        <w:rPr>
          <w:rFonts w:ascii="Atkinson Hyperlegible Next" w:eastAsia="Times New Roman" w:hAnsi="Atkinson Hyperlegible Next" w:cs="Times"/>
          <w:sz w:val="21"/>
          <w:szCs w:val="20"/>
          <w:lang w:eastAsia="it-IT"/>
        </w:rPr>
        <w:tab/>
        <w:t xml:space="preserve">   </w:t>
      </w:r>
      <w:r w:rsidRPr="0025344F">
        <w:rPr>
          <w:rFonts w:ascii="Atkinson Hyperlegible Next" w:eastAsia="Times New Roman" w:hAnsi="Atkinson Hyperlegible Next" w:cs="Times"/>
          <w:sz w:val="21"/>
          <w:szCs w:val="20"/>
          <w:lang w:eastAsia="it-IT"/>
        </w:rPr>
        <w:tab/>
        <w:t>In Fede</w:t>
      </w:r>
      <w:r w:rsidR="00592BF8" w:rsidRPr="0025344F">
        <w:rPr>
          <w:rFonts w:ascii="Atkinson Hyperlegible Next" w:eastAsia="Times New Roman" w:hAnsi="Atkinson Hyperlegible Next" w:cs="Times"/>
          <w:bCs/>
          <w:sz w:val="21"/>
          <w:szCs w:val="20"/>
          <w:lang w:eastAsia="it-IT"/>
        </w:rPr>
        <w:tab/>
        <w:t xml:space="preserve"> </w:t>
      </w:r>
    </w:p>
    <w:p w14:paraId="0A705786" w14:textId="77777777" w:rsidR="00592BF8" w:rsidRPr="0025344F" w:rsidRDefault="00592BF8" w:rsidP="00592BF8">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Atkinson Hyperlegible Next" w:eastAsia="Times New Roman" w:hAnsi="Atkinson Hyperlegible Next" w:cs="Times"/>
          <w:sz w:val="21"/>
          <w:szCs w:val="20"/>
          <w:lang w:eastAsia="it-IT"/>
        </w:rPr>
      </w:pPr>
    </w:p>
    <w:p w14:paraId="11C18B32" w14:textId="1A864C32" w:rsidR="00730EC2" w:rsidRPr="0025344F" w:rsidRDefault="00730EC2" w:rsidP="00592BF8">
      <w:pPr>
        <w:rPr>
          <w:rFonts w:ascii="Atkinson Hyperlegible Next" w:hAnsi="Atkinson Hyperlegible Next" w:cs="Times"/>
        </w:rPr>
      </w:pPr>
    </w:p>
    <w:sectPr w:rsidR="00730EC2" w:rsidRPr="0025344F" w:rsidSect="0025344F">
      <w:headerReference w:type="default" r:id="rId8"/>
      <w:footerReference w:type="default" r:id="rId9"/>
      <w:pgSz w:w="11906" w:h="16838" w:code="9"/>
      <w:pgMar w:top="2835" w:right="1134" w:bottom="1134" w:left="1134" w:header="65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C559" w14:textId="77777777" w:rsidR="002101BA" w:rsidRDefault="002101BA" w:rsidP="00A219AF">
      <w:r>
        <w:separator/>
      </w:r>
    </w:p>
  </w:endnote>
  <w:endnote w:type="continuationSeparator" w:id="0">
    <w:p w14:paraId="6EEDCE28" w14:textId="77777777" w:rsidR="002101BA" w:rsidRDefault="002101BA" w:rsidP="00A2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kinson Hyperlegible Next">
    <w:panose1 w:val="00000000000000000000"/>
    <w:charset w:val="00"/>
    <w:family w:val="modern"/>
    <w:notTrueType/>
    <w:pitch w:val="variable"/>
    <w:sig w:usb0="A000006F" w:usb1="0000600A" w:usb2="00000000" w:usb3="00000000" w:csb0="00000093" w:csb1="00000000"/>
  </w:font>
  <w:font w:name="Times">
    <w:panose1 w:val="02020603050405020304"/>
    <w:charset w:val="00"/>
    <w:family w:val="roman"/>
    <w:pitch w:val="variable"/>
    <w:sig w:usb0="00000003" w:usb1="00000000" w:usb2="00000000" w:usb3="00000000" w:csb0="00000001" w:csb1="00000000"/>
  </w:font>
  <w:font w:name="Atkinson Hyperlegible">
    <w:altName w:val="Calibri"/>
    <w:charset w:val="4D"/>
    <w:family w:val="auto"/>
    <w:pitch w:val="variable"/>
    <w:sig w:usb0="800000EF" w:usb1="0000204B"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F321" w14:textId="77777777" w:rsidR="0025344F" w:rsidRPr="0025344F" w:rsidRDefault="0025344F" w:rsidP="0025344F">
    <w:pPr>
      <w:tabs>
        <w:tab w:val="left" w:pos="851"/>
        <w:tab w:val="left" w:pos="5387"/>
      </w:tabs>
      <w:spacing w:line="240" w:lineRule="auto"/>
      <w:rPr>
        <w:rFonts w:ascii="Atkinson Hyperlegible Next" w:eastAsia="Times New Roman" w:hAnsi="Atkinson Hyperlegible Next" w:cs="Times New Roman"/>
        <w:b/>
        <w:color w:val="404040" w:themeColor="text1" w:themeTint="BF"/>
        <w:sz w:val="16"/>
        <w:szCs w:val="16"/>
        <w:lang w:eastAsia="it-IT"/>
      </w:rPr>
    </w:pPr>
  </w:p>
  <w:p w14:paraId="5BEC1706" w14:textId="77777777" w:rsidR="0025344F" w:rsidRPr="0025344F" w:rsidRDefault="0025344F" w:rsidP="0025344F">
    <w:pPr>
      <w:tabs>
        <w:tab w:val="left" w:pos="851"/>
        <w:tab w:val="left" w:pos="5387"/>
      </w:tabs>
      <w:spacing w:line="240" w:lineRule="auto"/>
      <w:rPr>
        <w:rFonts w:ascii="Atkinson Hyperlegible Next" w:eastAsia="Times New Roman" w:hAnsi="Atkinson Hyperlegible Next" w:cs="Times New Roman"/>
        <w:b/>
        <w:color w:val="404040" w:themeColor="text1" w:themeTint="BF"/>
        <w:sz w:val="16"/>
        <w:szCs w:val="16"/>
        <w:lang w:eastAsia="it-IT"/>
      </w:rPr>
    </w:pPr>
    <w:r w:rsidRPr="0025344F">
      <w:rPr>
        <w:rFonts w:ascii="Atkinson Hyperlegible" w:eastAsia="Times New Roman" w:hAnsi="Atkinson Hyperlegible" w:cs="Times New Roman"/>
        <w:b/>
        <w:noProof/>
        <w:color w:val="262626" w:themeColor="text1" w:themeTint="D9"/>
        <w:sz w:val="16"/>
        <w:szCs w:val="16"/>
        <w:lang w:eastAsia="it-IT"/>
      </w:rPr>
      <mc:AlternateContent>
        <mc:Choice Requires="wps">
          <w:drawing>
            <wp:anchor distT="0" distB="0" distL="114300" distR="114300" simplePos="0" relativeHeight="251665408" behindDoc="1" locked="0" layoutInCell="1" allowOverlap="1" wp14:anchorId="4B33B608" wp14:editId="19DB279A">
              <wp:simplePos x="0" y="0"/>
              <wp:positionH relativeFrom="column">
                <wp:posOffset>-732790</wp:posOffset>
              </wp:positionH>
              <wp:positionV relativeFrom="paragraph">
                <wp:posOffset>-136525</wp:posOffset>
              </wp:positionV>
              <wp:extent cx="7656830" cy="1588135"/>
              <wp:effectExtent l="0" t="0" r="1270" b="0"/>
              <wp:wrapNone/>
              <wp:docPr id="8" name="Rettangolo 8"/>
              <wp:cNvGraphicFramePr/>
              <a:graphic xmlns:a="http://schemas.openxmlformats.org/drawingml/2006/main">
                <a:graphicData uri="http://schemas.microsoft.com/office/word/2010/wordprocessingShape">
                  <wps:wsp>
                    <wps:cNvSpPr/>
                    <wps:spPr>
                      <a:xfrm>
                        <a:off x="0" y="0"/>
                        <a:ext cx="7656830" cy="1588135"/>
                      </a:xfrm>
                      <a:prstGeom prst="rect">
                        <a:avLst/>
                      </a:prstGeom>
                      <a:solidFill>
                        <a:srgbClr val="F4F4F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81020" id="Rettangolo 8" o:spid="_x0000_s1026" style="position:absolute;margin-left:-57.7pt;margin-top:-10.75pt;width:602.9pt;height:12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" fillcolor="#f4f4f4" stroked="f" strokeweight="1pt"/>
          </w:pict>
        </mc:Fallback>
      </mc:AlternateContent>
    </w:r>
    <w:r w:rsidRPr="0025344F">
      <w:rPr>
        <w:rFonts w:ascii="Atkinson Hyperlegible Next" w:eastAsia="Times New Roman" w:hAnsi="Atkinson Hyperlegible Next" w:cs="Times New Roman"/>
        <w:noProof/>
        <w:color w:val="404040" w:themeColor="text1" w:themeTint="BF"/>
        <w:sz w:val="16"/>
        <w:szCs w:val="16"/>
        <w:lang w:eastAsia="it-IT"/>
      </w:rPr>
      <mc:AlternateContent>
        <mc:Choice Requires="wps">
          <w:drawing>
            <wp:anchor distT="0" distB="0" distL="114300" distR="114300" simplePos="0" relativeHeight="251666432" behindDoc="0" locked="0" layoutInCell="1" allowOverlap="1" wp14:anchorId="078AF87E" wp14:editId="796BC06D">
              <wp:simplePos x="0" y="0"/>
              <wp:positionH relativeFrom="column">
                <wp:posOffset>-782955</wp:posOffset>
              </wp:positionH>
              <wp:positionV relativeFrom="paragraph">
                <wp:posOffset>-139700</wp:posOffset>
              </wp:positionV>
              <wp:extent cx="8353425" cy="46800"/>
              <wp:effectExtent l="0" t="0" r="3175" b="4445"/>
              <wp:wrapNone/>
              <wp:docPr id="11" name="Rettangolo 11"/>
              <wp:cNvGraphicFramePr/>
              <a:graphic xmlns:a="http://schemas.openxmlformats.org/drawingml/2006/main">
                <a:graphicData uri="http://schemas.microsoft.com/office/word/2010/wordprocessingShape">
                  <wps:wsp>
                    <wps:cNvSpPr/>
                    <wps:spPr>
                      <a:xfrm>
                        <a:off x="0" y="0"/>
                        <a:ext cx="8353425" cy="46800"/>
                      </a:xfrm>
                      <a:prstGeom prst="rect">
                        <a:avLst/>
                      </a:prstGeom>
                      <a:solidFill>
                        <a:srgbClr val="6869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10A92" id="Rettangolo 11" o:spid="_x0000_s1026" style="position:absolute;margin-left:-61.65pt;margin-top:-11pt;width:657.75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" fillcolor="#686969" stroked="f" strokeweight="1pt"/>
          </w:pict>
        </mc:Fallback>
      </mc:AlternateContent>
    </w:r>
  </w:p>
  <w:p w14:paraId="0B3C1973" w14:textId="77777777" w:rsidR="0025344F" w:rsidRPr="0025344F" w:rsidRDefault="0025344F" w:rsidP="0025344F">
    <w:pPr>
      <w:tabs>
        <w:tab w:val="left" w:pos="851"/>
        <w:tab w:val="left" w:pos="5387"/>
      </w:tabs>
      <w:spacing w:line="240" w:lineRule="auto"/>
      <w:rPr>
        <w:rFonts w:ascii="Atkinson Hyperlegible" w:eastAsia="Times New Roman" w:hAnsi="Atkinson Hyperlegible" w:cs="Times New Roman"/>
        <w:color w:val="404040" w:themeColor="text1" w:themeTint="BF"/>
        <w:sz w:val="15"/>
        <w:szCs w:val="15"/>
        <w:lang w:eastAsia="it-IT"/>
      </w:rPr>
    </w:pPr>
    <w:r w:rsidRPr="0025344F">
      <w:rPr>
        <w:rFonts w:ascii="Atkinson Hyperlegible" w:eastAsia="Times New Roman" w:hAnsi="Atkinson Hyperlegible" w:cs="Times New Roman"/>
        <w:b/>
        <w:color w:val="404040" w:themeColor="text1" w:themeTint="BF"/>
        <w:sz w:val="15"/>
        <w:szCs w:val="15"/>
        <w:lang w:eastAsia="it-IT"/>
      </w:rPr>
      <w:t>DICEAA</w:t>
    </w:r>
    <w:r w:rsidRPr="0025344F">
      <w:rPr>
        <w:rFonts w:ascii="Atkinson Hyperlegible" w:eastAsia="Times New Roman" w:hAnsi="Atkinson Hyperlegible" w:cs="Times New Roman"/>
        <w:b/>
        <w:color w:val="404040" w:themeColor="text1" w:themeTint="BF"/>
        <w:sz w:val="15"/>
        <w:szCs w:val="15"/>
        <w:lang w:eastAsia="it-IT"/>
      </w:rPr>
      <w:br/>
    </w:r>
    <w:r w:rsidRPr="0025344F">
      <w:rPr>
        <w:rFonts w:ascii="Atkinson Hyperlegible" w:eastAsia="Times New Roman" w:hAnsi="Atkinson Hyperlegible" w:cs="Times New Roman"/>
        <w:b/>
        <w:bCs/>
        <w:color w:val="404040" w:themeColor="text1" w:themeTint="BF"/>
        <w:sz w:val="15"/>
        <w:szCs w:val="15"/>
        <w:lang w:eastAsia="it-IT"/>
      </w:rPr>
      <w:t>Dipartimento di Ingegneria Civile, Edile-Architettura e Ambientale</w:t>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r>
  </w:p>
  <w:p w14:paraId="1BA90335" w14:textId="77777777" w:rsidR="0025344F" w:rsidRPr="0025344F" w:rsidRDefault="0025344F" w:rsidP="0025344F">
    <w:pPr>
      <w:tabs>
        <w:tab w:val="left" w:pos="851"/>
        <w:tab w:val="left" w:pos="5387"/>
      </w:tabs>
      <w:spacing w:line="240" w:lineRule="auto"/>
      <w:rPr>
        <w:rFonts w:ascii="Atkinson Hyperlegible" w:eastAsia="Times New Roman" w:hAnsi="Atkinson Hyperlegible" w:cs="Times New Roman"/>
        <w:b/>
        <w:color w:val="404040" w:themeColor="text1" w:themeTint="BF"/>
        <w:sz w:val="15"/>
        <w:szCs w:val="15"/>
        <w:lang w:eastAsia="it-IT"/>
      </w:rPr>
    </w:pPr>
    <w:r w:rsidRPr="0025344F">
      <w:rPr>
        <w:rFonts w:ascii="Atkinson Hyperlegible" w:eastAsia="Times New Roman" w:hAnsi="Atkinson Hyperlegible" w:cs="Times New Roman"/>
        <w:color w:val="404040" w:themeColor="text1" w:themeTint="BF"/>
        <w:sz w:val="15"/>
        <w:szCs w:val="15"/>
        <w:lang w:eastAsia="it-IT"/>
      </w:rPr>
      <w:t>Università degli Studi dell'Aquila</w:t>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t>T: +39 0862434553</w:t>
    </w:r>
  </w:p>
  <w:p w14:paraId="3DECC519" w14:textId="77777777" w:rsidR="0025344F" w:rsidRPr="0025344F" w:rsidRDefault="0025344F" w:rsidP="0025344F">
    <w:pPr>
      <w:tabs>
        <w:tab w:val="left" w:pos="851"/>
        <w:tab w:val="left" w:pos="5387"/>
      </w:tabs>
      <w:spacing w:line="240" w:lineRule="auto"/>
      <w:rPr>
        <w:rFonts w:ascii="Atkinson Hyperlegible" w:eastAsia="Times New Roman" w:hAnsi="Atkinson Hyperlegible" w:cs="Times New Roman"/>
        <w:color w:val="404040" w:themeColor="text1" w:themeTint="BF"/>
        <w:sz w:val="15"/>
        <w:szCs w:val="15"/>
        <w:lang w:eastAsia="it-IT"/>
      </w:rPr>
    </w:pPr>
    <w:r w:rsidRPr="0025344F">
      <w:rPr>
        <w:rFonts w:ascii="Atkinson Hyperlegible" w:eastAsia="Times New Roman" w:hAnsi="Atkinson Hyperlegible" w:cs="Times New Roman"/>
        <w:color w:val="404040" w:themeColor="text1" w:themeTint="BF"/>
        <w:sz w:val="15"/>
        <w:szCs w:val="15"/>
        <w:lang w:eastAsia="it-IT"/>
      </w:rPr>
      <w:t>Piazzale Pontieri, 1 - Monteluco di Roio - 67100 L'Aquila</w:t>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r>
    <w:proofErr w:type="spellStart"/>
    <w:r w:rsidRPr="0025344F">
      <w:rPr>
        <w:rFonts w:ascii="Atkinson Hyperlegible" w:eastAsia="Times New Roman" w:hAnsi="Atkinson Hyperlegible" w:cs="Times New Roman"/>
        <w:color w:val="404040" w:themeColor="text1" w:themeTint="BF"/>
        <w:sz w:val="15"/>
        <w:szCs w:val="15"/>
        <w:lang w:eastAsia="it-IT"/>
      </w:rPr>
      <w:t>p.iva</w:t>
    </w:r>
    <w:proofErr w:type="spellEnd"/>
    <w:r w:rsidRPr="0025344F">
      <w:rPr>
        <w:rFonts w:ascii="Atkinson Hyperlegible" w:eastAsia="Times New Roman" w:hAnsi="Atkinson Hyperlegible" w:cs="Times New Roman"/>
        <w:color w:val="404040" w:themeColor="text1" w:themeTint="BF"/>
        <w:sz w:val="15"/>
        <w:szCs w:val="15"/>
        <w:lang w:eastAsia="it-IT"/>
      </w:rPr>
      <w:t xml:space="preserve"> cod. </w:t>
    </w:r>
    <w:proofErr w:type="spellStart"/>
    <w:r w:rsidRPr="0025344F">
      <w:rPr>
        <w:rFonts w:ascii="Atkinson Hyperlegible" w:eastAsia="Times New Roman" w:hAnsi="Atkinson Hyperlegible" w:cs="Times New Roman"/>
        <w:color w:val="404040" w:themeColor="text1" w:themeTint="BF"/>
        <w:sz w:val="15"/>
        <w:szCs w:val="15"/>
        <w:lang w:eastAsia="it-IT"/>
      </w:rPr>
      <w:t>fisc</w:t>
    </w:r>
    <w:proofErr w:type="spellEnd"/>
    <w:r w:rsidRPr="0025344F">
      <w:rPr>
        <w:rFonts w:ascii="Atkinson Hyperlegible" w:eastAsia="Times New Roman" w:hAnsi="Atkinson Hyperlegible" w:cs="Times New Roman"/>
        <w:color w:val="404040" w:themeColor="text1" w:themeTint="BF"/>
        <w:sz w:val="15"/>
        <w:szCs w:val="15"/>
        <w:lang w:eastAsia="it-IT"/>
      </w:rPr>
      <w:t>. 01021630668</w:t>
    </w:r>
  </w:p>
  <w:p w14:paraId="3F521671" w14:textId="77777777" w:rsidR="0025344F" w:rsidRPr="0025344F" w:rsidRDefault="0025344F" w:rsidP="0025344F">
    <w:pPr>
      <w:tabs>
        <w:tab w:val="left" w:pos="851"/>
        <w:tab w:val="left" w:pos="5387"/>
      </w:tabs>
      <w:spacing w:line="240" w:lineRule="auto"/>
      <w:rPr>
        <w:rFonts w:ascii="Atkinson Hyperlegible" w:eastAsia="Times New Roman" w:hAnsi="Atkinson Hyperlegible" w:cs="Times New Roman"/>
        <w:color w:val="404040" w:themeColor="text1" w:themeTint="BF"/>
        <w:sz w:val="15"/>
        <w:szCs w:val="15"/>
        <w:lang w:eastAsia="it-IT"/>
      </w:rPr>
    </w:pPr>
    <w:r w:rsidRPr="0025344F">
      <w:rPr>
        <w:rFonts w:ascii="Atkinson Hyperlegible" w:eastAsia="Times New Roman" w:hAnsi="Atkinson Hyperlegible" w:cs="Times New Roman"/>
        <w:color w:val="404040" w:themeColor="text1" w:themeTint="BF"/>
        <w:sz w:val="15"/>
        <w:szCs w:val="15"/>
        <w:lang w:eastAsia="it-IT"/>
      </w:rPr>
      <w:t xml:space="preserve">marcello.dirisio@univaq.it // posta certificata: </w:t>
    </w:r>
    <w:r w:rsidRPr="0025344F">
      <w:rPr>
        <w:rFonts w:ascii="Atkinson Hyperlegible" w:eastAsia="Times New Roman" w:hAnsi="Atkinson Hyperlegible" w:cs="Times New Roman"/>
        <w:sz w:val="15"/>
        <w:szCs w:val="15"/>
        <w:lang w:eastAsia="it-IT"/>
      </w:rPr>
      <w:t>diceaa@pec.univaq.it</w:t>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color w:val="404040" w:themeColor="text1" w:themeTint="BF"/>
        <w:sz w:val="15"/>
        <w:szCs w:val="15"/>
        <w:lang w:eastAsia="it-IT"/>
      </w:rPr>
      <w:tab/>
    </w:r>
    <w:r w:rsidRPr="0025344F">
      <w:rPr>
        <w:rFonts w:ascii="Atkinson Hyperlegible" w:eastAsia="Times New Roman" w:hAnsi="Atkinson Hyperlegible" w:cs="Times New Roman"/>
        <w:b/>
        <w:bCs/>
        <w:color w:val="404040" w:themeColor="text1" w:themeTint="BF"/>
        <w:sz w:val="15"/>
        <w:szCs w:val="15"/>
        <w:lang w:eastAsia="it-IT"/>
      </w:rPr>
      <w:t>diceaa.univaq.it</w:t>
    </w:r>
  </w:p>
  <w:p w14:paraId="081B9899" w14:textId="77777777" w:rsidR="00934AC7" w:rsidRPr="0025344F" w:rsidRDefault="00934AC7" w:rsidP="002534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1E2A" w14:textId="77777777" w:rsidR="002101BA" w:rsidRDefault="002101BA" w:rsidP="00A219AF">
      <w:r>
        <w:separator/>
      </w:r>
    </w:p>
  </w:footnote>
  <w:footnote w:type="continuationSeparator" w:id="0">
    <w:p w14:paraId="58C74987" w14:textId="77777777" w:rsidR="002101BA" w:rsidRDefault="002101BA" w:rsidP="00A2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9103" w14:textId="77777777" w:rsidR="0025344F" w:rsidRPr="00CF03A7" w:rsidRDefault="0025344F" w:rsidP="0025344F">
    <w:pPr>
      <w:tabs>
        <w:tab w:val="left" w:pos="5103"/>
      </w:tabs>
      <w:spacing w:line="240" w:lineRule="auto"/>
      <w:jc w:val="center"/>
    </w:pPr>
    <w:r>
      <w:rPr>
        <w:noProof/>
      </w:rPr>
      <w:drawing>
        <wp:anchor distT="0" distB="0" distL="114300" distR="114300" simplePos="0" relativeHeight="251663360" behindDoc="0" locked="0" layoutInCell="1" allowOverlap="1" wp14:anchorId="4058EC24" wp14:editId="2E6808EE">
          <wp:simplePos x="0" y="0"/>
          <wp:positionH relativeFrom="column">
            <wp:posOffset>0</wp:posOffset>
          </wp:positionH>
          <wp:positionV relativeFrom="paragraph">
            <wp:posOffset>-635</wp:posOffset>
          </wp:positionV>
          <wp:extent cx="3948666" cy="979205"/>
          <wp:effectExtent l="0" t="0" r="0" b="0"/>
          <wp:wrapNone/>
          <wp:docPr id="3" name="Immagine 3" descr="Immagine che contiene simbolo, emblema, logo, cres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imbolo, emblema, logo, cres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948666" cy="979205"/>
                  </a:xfrm>
                  <a:prstGeom prst="rect">
                    <a:avLst/>
                  </a:prstGeom>
                </pic:spPr>
              </pic:pic>
            </a:graphicData>
          </a:graphic>
          <wp14:sizeRelH relativeFrom="margin">
            <wp14:pctWidth>0</wp14:pctWidth>
          </wp14:sizeRelH>
          <wp14:sizeRelV relativeFrom="margin">
            <wp14:pctHeight>0</wp14:pctHeight>
          </wp14:sizeRelV>
        </wp:anchor>
      </w:drawing>
    </w:r>
  </w:p>
  <w:p w14:paraId="5FEF00EE" w14:textId="29D01567" w:rsidR="00A219AF" w:rsidRPr="0025344F" w:rsidRDefault="00A219AF" w:rsidP="002534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7726"/>
    <w:multiLevelType w:val="hybridMultilevel"/>
    <w:tmpl w:val="83386F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311359"/>
    <w:multiLevelType w:val="hybridMultilevel"/>
    <w:tmpl w:val="EE864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2565">
    <w:abstractNumId w:val="0"/>
  </w:num>
  <w:num w:numId="2" w16cid:durableId="191577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sjA1tTQ3NjO2tLBU0lEKTi0uzszPAykwqQUATR3UlSwAAAA="/>
  </w:docVars>
  <w:rsids>
    <w:rsidRoot w:val="000C211E"/>
    <w:rsid w:val="00046B64"/>
    <w:rsid w:val="00060B0A"/>
    <w:rsid w:val="00071969"/>
    <w:rsid w:val="00074A78"/>
    <w:rsid w:val="00085711"/>
    <w:rsid w:val="000A6C23"/>
    <w:rsid w:val="000C1E88"/>
    <w:rsid w:val="000C211E"/>
    <w:rsid w:val="000C3FBF"/>
    <w:rsid w:val="000D2705"/>
    <w:rsid w:val="000F0BB0"/>
    <w:rsid w:val="000F3474"/>
    <w:rsid w:val="001164C0"/>
    <w:rsid w:val="00144C2D"/>
    <w:rsid w:val="00156B93"/>
    <w:rsid w:val="00174F4F"/>
    <w:rsid w:val="001E4760"/>
    <w:rsid w:val="001E4B15"/>
    <w:rsid w:val="001E5864"/>
    <w:rsid w:val="001F567D"/>
    <w:rsid w:val="00205973"/>
    <w:rsid w:val="002101BA"/>
    <w:rsid w:val="002156BE"/>
    <w:rsid w:val="0022125B"/>
    <w:rsid w:val="00221542"/>
    <w:rsid w:val="00242956"/>
    <w:rsid w:val="00250AC1"/>
    <w:rsid w:val="0025344F"/>
    <w:rsid w:val="002B4AD3"/>
    <w:rsid w:val="002C3794"/>
    <w:rsid w:val="00315963"/>
    <w:rsid w:val="00315FF3"/>
    <w:rsid w:val="00320AB6"/>
    <w:rsid w:val="0034525C"/>
    <w:rsid w:val="0037014B"/>
    <w:rsid w:val="00383646"/>
    <w:rsid w:val="00386EC5"/>
    <w:rsid w:val="0039119B"/>
    <w:rsid w:val="003A4EEA"/>
    <w:rsid w:val="004551AA"/>
    <w:rsid w:val="00490E22"/>
    <w:rsid w:val="004A0014"/>
    <w:rsid w:val="004C21F3"/>
    <w:rsid w:val="004D03C0"/>
    <w:rsid w:val="004D6266"/>
    <w:rsid w:val="00515C2B"/>
    <w:rsid w:val="00523A6D"/>
    <w:rsid w:val="005275AA"/>
    <w:rsid w:val="00535579"/>
    <w:rsid w:val="00546B47"/>
    <w:rsid w:val="00552721"/>
    <w:rsid w:val="005624A1"/>
    <w:rsid w:val="00583E4F"/>
    <w:rsid w:val="005855CF"/>
    <w:rsid w:val="00592BF8"/>
    <w:rsid w:val="005B7A65"/>
    <w:rsid w:val="005C1A04"/>
    <w:rsid w:val="005C6129"/>
    <w:rsid w:val="005D5500"/>
    <w:rsid w:val="005D7DF1"/>
    <w:rsid w:val="006109E8"/>
    <w:rsid w:val="0061681D"/>
    <w:rsid w:val="00625255"/>
    <w:rsid w:val="00633E3D"/>
    <w:rsid w:val="00635537"/>
    <w:rsid w:val="00640139"/>
    <w:rsid w:val="00643C37"/>
    <w:rsid w:val="006A1940"/>
    <w:rsid w:val="006A5659"/>
    <w:rsid w:val="006B4000"/>
    <w:rsid w:val="006B5184"/>
    <w:rsid w:val="006C508D"/>
    <w:rsid w:val="006C63EC"/>
    <w:rsid w:val="006C70E7"/>
    <w:rsid w:val="006D5D5C"/>
    <w:rsid w:val="006E4A39"/>
    <w:rsid w:val="00715C28"/>
    <w:rsid w:val="00730EC2"/>
    <w:rsid w:val="00732919"/>
    <w:rsid w:val="00761F1E"/>
    <w:rsid w:val="007752D4"/>
    <w:rsid w:val="007A39EA"/>
    <w:rsid w:val="00812F34"/>
    <w:rsid w:val="00813EC6"/>
    <w:rsid w:val="008210FA"/>
    <w:rsid w:val="00821AAC"/>
    <w:rsid w:val="008554DF"/>
    <w:rsid w:val="0088407B"/>
    <w:rsid w:val="00886E03"/>
    <w:rsid w:val="008C3AF1"/>
    <w:rsid w:val="008F57E9"/>
    <w:rsid w:val="009236DC"/>
    <w:rsid w:val="00934AC7"/>
    <w:rsid w:val="0093632F"/>
    <w:rsid w:val="0093718B"/>
    <w:rsid w:val="00975CFE"/>
    <w:rsid w:val="009927F8"/>
    <w:rsid w:val="00997F37"/>
    <w:rsid w:val="009C0948"/>
    <w:rsid w:val="009D7DF8"/>
    <w:rsid w:val="009E415F"/>
    <w:rsid w:val="009E5EAA"/>
    <w:rsid w:val="00A1534D"/>
    <w:rsid w:val="00A17F60"/>
    <w:rsid w:val="00A219AF"/>
    <w:rsid w:val="00A26AF3"/>
    <w:rsid w:val="00A315EC"/>
    <w:rsid w:val="00A459C7"/>
    <w:rsid w:val="00A7258B"/>
    <w:rsid w:val="00A95FD4"/>
    <w:rsid w:val="00AA1059"/>
    <w:rsid w:val="00B46410"/>
    <w:rsid w:val="00B627DB"/>
    <w:rsid w:val="00B72E11"/>
    <w:rsid w:val="00BB1ED5"/>
    <w:rsid w:val="00BB5126"/>
    <w:rsid w:val="00BC3651"/>
    <w:rsid w:val="00BC5C58"/>
    <w:rsid w:val="00BE1521"/>
    <w:rsid w:val="00BF3252"/>
    <w:rsid w:val="00BF3526"/>
    <w:rsid w:val="00BF7AF7"/>
    <w:rsid w:val="00C0181B"/>
    <w:rsid w:val="00C1316F"/>
    <w:rsid w:val="00C20463"/>
    <w:rsid w:val="00C224D4"/>
    <w:rsid w:val="00C2671E"/>
    <w:rsid w:val="00C43447"/>
    <w:rsid w:val="00C66B5A"/>
    <w:rsid w:val="00C71C5B"/>
    <w:rsid w:val="00C7302E"/>
    <w:rsid w:val="00CA53C9"/>
    <w:rsid w:val="00CA541F"/>
    <w:rsid w:val="00CA73B9"/>
    <w:rsid w:val="00CE10DA"/>
    <w:rsid w:val="00CF03A7"/>
    <w:rsid w:val="00D21732"/>
    <w:rsid w:val="00D25231"/>
    <w:rsid w:val="00D859FC"/>
    <w:rsid w:val="00D90AE4"/>
    <w:rsid w:val="00D91DD5"/>
    <w:rsid w:val="00DC6268"/>
    <w:rsid w:val="00DD187B"/>
    <w:rsid w:val="00E07560"/>
    <w:rsid w:val="00E24573"/>
    <w:rsid w:val="00E27B64"/>
    <w:rsid w:val="00E32F8F"/>
    <w:rsid w:val="00E407ED"/>
    <w:rsid w:val="00E473EA"/>
    <w:rsid w:val="00EA2B58"/>
    <w:rsid w:val="00EB107A"/>
    <w:rsid w:val="00EB40CC"/>
    <w:rsid w:val="00F23BBB"/>
    <w:rsid w:val="00F24826"/>
    <w:rsid w:val="00F36349"/>
    <w:rsid w:val="00F445F9"/>
    <w:rsid w:val="00F46C62"/>
    <w:rsid w:val="00F501EC"/>
    <w:rsid w:val="00F77B41"/>
    <w:rsid w:val="00FC13FD"/>
    <w:rsid w:val="00FD7D4F"/>
    <w:rsid w:val="00FF3B48"/>
    <w:rsid w:val="00FF6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E152"/>
  <w15:docId w15:val="{CB300550-40AB-4289-A683-99369225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Regular"/>
    <w:qFormat/>
    <w:rsid w:val="00174F4F"/>
    <w:pPr>
      <w:spacing w:line="288" w:lineRule="exact"/>
    </w:pPr>
    <w:rPr>
      <w:rFonts w:ascii="Times New Roman" w:hAnsi="Times New Roman"/>
      <w:sz w:val="24"/>
    </w:rPr>
  </w:style>
  <w:style w:type="paragraph" w:styleId="Titolo2">
    <w:name w:val="heading 2"/>
    <w:basedOn w:val="Normale"/>
    <w:link w:val="Titolo2Carattere"/>
    <w:uiPriority w:val="9"/>
    <w:qFormat/>
    <w:rsid w:val="002C3794"/>
    <w:pPr>
      <w:spacing w:before="100" w:beforeAutospacing="1" w:after="100" w:afterAutospacing="1"/>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2C379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5D7DF1"/>
    <w:rPr>
      <w:color w:val="605E5C"/>
      <w:shd w:val="clear" w:color="auto" w:fill="E1DFDD"/>
    </w:rPr>
  </w:style>
  <w:style w:type="paragraph" w:styleId="Paragrafoelenco">
    <w:name w:val="List Paragraph"/>
    <w:basedOn w:val="Normale"/>
    <w:uiPriority w:val="34"/>
    <w:qFormat/>
    <w:rsid w:val="00060B0A"/>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8658">
      <w:bodyDiv w:val="1"/>
      <w:marLeft w:val="0"/>
      <w:marRight w:val="0"/>
      <w:marTop w:val="0"/>
      <w:marBottom w:val="0"/>
      <w:divBdr>
        <w:top w:val="none" w:sz="0" w:space="0" w:color="auto"/>
        <w:left w:val="none" w:sz="0" w:space="0" w:color="auto"/>
        <w:bottom w:val="none" w:sz="0" w:space="0" w:color="auto"/>
        <w:right w:val="none" w:sz="0" w:space="0" w:color="auto"/>
      </w:divBdr>
    </w:div>
    <w:div w:id="1709376594">
      <w:bodyDiv w:val="1"/>
      <w:marLeft w:val="0"/>
      <w:marRight w:val="0"/>
      <w:marTop w:val="0"/>
      <w:marBottom w:val="0"/>
      <w:divBdr>
        <w:top w:val="none" w:sz="0" w:space="0" w:color="auto"/>
        <w:left w:val="none" w:sz="0" w:space="0" w:color="auto"/>
        <w:bottom w:val="none" w:sz="0" w:space="0" w:color="auto"/>
        <w:right w:val="none" w:sz="0" w:space="0" w:color="auto"/>
      </w:divBdr>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847F-8EC0-4F4A-B8FD-E8A13AAC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Boscarol</dc:creator>
  <cp:lastModifiedBy>Matteo Totani</cp:lastModifiedBy>
  <cp:revision>7</cp:revision>
  <cp:lastPrinted>2021-02-11T19:02:00Z</cp:lastPrinted>
  <dcterms:created xsi:type="dcterms:W3CDTF">2021-07-29T20:11:00Z</dcterms:created>
  <dcterms:modified xsi:type="dcterms:W3CDTF">2025-05-08T10:43:00Z</dcterms:modified>
</cp:coreProperties>
</file>